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F3C8D13" w14:textId="77777777" w:rsidR="003D45DB" w:rsidRPr="009F4785" w:rsidRDefault="003D45DB" w:rsidP="003D45DB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40FCD57D" w14:textId="372D1B2C" w:rsidR="003D45DB" w:rsidRPr="009F4785" w:rsidRDefault="00B15E93" w:rsidP="003D45DB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16</w:t>
      </w:r>
      <w:r w:rsidR="003D45DB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4</w:t>
      </w:r>
      <w:r w:rsidR="003D45DB">
        <w:rPr>
          <w:snapToGrid/>
          <w:color w:val="000000" w:themeColor="text1"/>
          <w:sz w:val="24"/>
          <w:szCs w:val="24"/>
        </w:rPr>
        <w:t xml:space="preserve">.2021 </w:t>
      </w:r>
      <w:r w:rsidR="003D45DB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2E8F57BA" w14:textId="1EC5391E" w:rsidR="00474FCE" w:rsidRPr="005E0EDE" w:rsidRDefault="00214FA9" w:rsidP="00474FC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D45DB">
        <w:rPr>
          <w:color w:val="000000" w:themeColor="text1"/>
          <w:sz w:val="32"/>
          <w:szCs w:val="32"/>
        </w:rPr>
        <w:t>«</w:t>
      </w:r>
      <w:r w:rsidR="008D7287">
        <w:rPr>
          <w:color w:val="000000" w:themeColor="text1"/>
          <w:sz w:val="32"/>
          <w:szCs w:val="32"/>
        </w:rPr>
        <w:t>Труб ПЭ</w:t>
      </w:r>
      <w:r w:rsidR="00474FCE">
        <w:rPr>
          <w:color w:val="000000" w:themeColor="text1"/>
          <w:sz w:val="32"/>
          <w:szCs w:val="32"/>
        </w:rPr>
        <w:t>»</w:t>
      </w:r>
    </w:p>
    <w:p w14:paraId="503DB968" w14:textId="18C17113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3D45DB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3D45DB" w:rsidRDefault="008A5F2A" w:rsidP="008A5F2A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14:paraId="4C7DBD6B" w14:textId="4D8C07CF" w:rsidR="006A1ADD" w:rsidRPr="003D45DB" w:rsidRDefault="003D45DB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3D45DB">
        <w:rPr>
          <w:bCs w:val="0"/>
          <w:color w:val="000000" w:themeColor="text1"/>
          <w:sz w:val="24"/>
          <w:szCs w:val="24"/>
        </w:rPr>
        <w:t>ТКС-К-0</w:t>
      </w:r>
      <w:r w:rsidR="008D7287">
        <w:rPr>
          <w:bCs w:val="0"/>
          <w:color w:val="000000" w:themeColor="text1"/>
          <w:sz w:val="24"/>
          <w:szCs w:val="24"/>
        </w:rPr>
        <w:t>31</w:t>
      </w:r>
      <w:r w:rsidRPr="003D45DB">
        <w:rPr>
          <w:bCs w:val="0"/>
          <w:color w:val="000000" w:themeColor="text1"/>
          <w:sz w:val="24"/>
          <w:szCs w:val="24"/>
        </w:rPr>
        <w:t>-21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D45DB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373FA6D" w:rsidR="003D45DB" w:rsidRPr="009E192C" w:rsidRDefault="003D45DB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35AE7F6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181A355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D45DB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371A02C1" w:rsidR="003D45DB" w:rsidRPr="009E192C" w:rsidRDefault="003D45D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BE86653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DAA718B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2ED2B0D9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3D45DB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3D45DB" w:rsidRPr="009E192C" w:rsidRDefault="003D45DB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63D73605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45D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4CC37E5" w:rsidR="00044414" w:rsidRPr="009E192C" w:rsidRDefault="003D45DB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3D45DB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86BC7DD" w:rsidR="003D45DB" w:rsidRPr="009E192C" w:rsidRDefault="008D728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3D45DB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3D45DB" w:rsidRPr="009E192C" w:rsidRDefault="003D45DB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B434DB4" w:rsidR="003D45DB" w:rsidRPr="009E192C" w:rsidRDefault="008D728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DA16D6E" w14:textId="531077CB" w:rsidR="00191512" w:rsidRPr="00CF2217" w:rsidRDefault="0019151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№1.2 – Опросные листы</w:t>
            </w:r>
          </w:p>
          <w:p w14:paraId="1061E74F" w14:textId="2601BBB4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5DBC81B" w:rsidR="00987CF8" w:rsidRPr="000D2DB4" w:rsidRDefault="003D45DB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FF6BE12" w:rsidR="00987CF8" w:rsidRPr="009E192C" w:rsidRDefault="003D45DB" w:rsidP="008D728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8D728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Трубы ПЭ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3FA1C6E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="00BE567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, Приложение №1.2.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2BD7EEE" w14:textId="77777777" w:rsid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E6557D" w14:textId="06C78B03" w:rsidR="003D45DB" w:rsidRPr="00F31E4E" w:rsidRDefault="003D45DB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– </w:t>
            </w:r>
            <w:r w:rsidR="00B15E93">
              <w:rPr>
                <w:b/>
                <w:sz w:val="20"/>
                <w:szCs w:val="20"/>
              </w:rPr>
              <w:t>432 500,36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17219405" w14:textId="66CE6ADC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ABB645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</w:t>
            </w:r>
            <w:r w:rsidR="002643F5">
              <w:rPr>
                <w:sz w:val="20"/>
                <w:lang w:val="ru-RU"/>
              </w:rPr>
              <w:lastRenderedPageBreak/>
              <w:t>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lastRenderedPageBreak/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052D3D29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B91331">
              <w:rPr>
                <w:rFonts w:ascii="Times New Roman" w:hAnsi="Times New Roman" w:cs="Times New Roman"/>
                <w:color w:val="FF0000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</w:t>
            </w:r>
            <w:r w:rsidR="00F1362A">
              <w:rPr>
                <w:rFonts w:ascii="Times New Roman" w:hAnsi="Times New Roman" w:cs="Times New Roman"/>
                <w:color w:val="FF0000"/>
              </w:rPr>
              <w:t>отокола по результатам закупки</w:t>
            </w:r>
            <w:r w:rsidRPr="00B91331">
              <w:rPr>
                <w:rFonts w:ascii="Times New Roman" w:hAnsi="Times New Roman" w:cs="Times New Roman"/>
                <w:color w:val="FF0000"/>
              </w:rPr>
              <w:t>, не неся при этом никакой ответственности перед любыми физическими и юридическими лицами</w:t>
            </w:r>
            <w:proofErr w:type="gramEnd"/>
            <w:r w:rsidRPr="00B91331">
              <w:rPr>
                <w:rFonts w:ascii="Times New Roman" w:hAnsi="Times New Roman" w:cs="Times New Roman"/>
                <w:color w:val="FF0000"/>
              </w:rPr>
              <w:t xml:space="preserve">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B53CB77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8B59F69" w14:textId="77777777" w:rsidR="00D41C8B" w:rsidRPr="00024DF9" w:rsidRDefault="00D41C8B" w:rsidP="00D41C8B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E3E45D4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1917DEC" w14:textId="77777777" w:rsidR="00D41C8B" w:rsidRPr="00DF5C63" w:rsidRDefault="00D41C8B" w:rsidP="00D41C8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7B6AE935" w14:textId="77777777" w:rsidR="00474FCE" w:rsidRPr="00A95A13" w:rsidRDefault="00474FCE" w:rsidP="00474FCE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/>
              </w:rPr>
              <w:t xml:space="preserve">- 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C267BDF" w:rsidR="00B35663" w:rsidRPr="00A95A13" w:rsidRDefault="00B35663" w:rsidP="00BE567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1370F354" w:rsidR="001018D7" w:rsidRPr="00A95A13" w:rsidRDefault="00610CAA" w:rsidP="008A7D7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участником, заявка которого признана единственной заявкой, </w:t>
            </w:r>
            <w:r w:rsidRPr="00A95A13">
              <w:lastRenderedPageBreak/>
              <w:t>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5E93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512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0847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274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5DB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4FCE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7E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287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E93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674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F2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1C8B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362A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EC9D8-A80F-47CF-8CB1-7C25A742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13</Pages>
  <Words>4428</Words>
  <Characters>29929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34289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188</cp:revision>
  <cp:lastPrinted>2019-02-04T06:44:00Z</cp:lastPrinted>
  <dcterms:created xsi:type="dcterms:W3CDTF">2019-02-07T06:22:00Z</dcterms:created>
  <dcterms:modified xsi:type="dcterms:W3CDTF">2021-04-16T08:53:00Z</dcterms:modified>
</cp:coreProperties>
</file>